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UNIVERSITÀ DEGLI STUDI DI TORINO</w:t>
      </w:r>
    </w:p>
    <w:p w:rsidR="00000000" w:rsidDel="00000000" w:rsidP="00000000" w:rsidRDefault="00000000" w:rsidRPr="00000000" w14:paraId="00000002">
      <w:pPr>
        <w:ind w:left="567"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TEACHING AND LEARNING CENTER</w:t>
      </w:r>
    </w:p>
    <w:p w:rsidR="00000000" w:rsidDel="00000000" w:rsidP="00000000" w:rsidRDefault="00000000" w:rsidRPr="00000000" w14:paraId="00000003">
      <w:pPr>
        <w:ind w:left="567"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ind w:left="567" w:firstLine="0"/>
        <w:rPr>
          <w:rFonts w:ascii="Arial" w:cs="Arial" w:eastAsia="Arial" w:hAnsi="Arial"/>
        </w:rPr>
      </w:pPr>
      <w:r w:rsidDel="00000000" w:rsidR="00000000" w:rsidRPr="00000000">
        <w:rPr>
          <w:rFonts w:ascii="Arial" w:cs="Arial" w:eastAsia="Arial" w:hAnsi="Arial"/>
          <w:rtl w:val="0"/>
        </w:rPr>
        <w:t xml:space="preserve">Decreto della Direttrice n. ___/2026</w:t>
      </w:r>
    </w:p>
    <w:p w:rsidR="00000000" w:rsidDel="00000000" w:rsidP="00000000" w:rsidRDefault="00000000" w:rsidRPr="00000000" w14:paraId="00000005">
      <w:pPr>
        <w:ind w:left="567" w:firstLine="0"/>
        <w:rPr>
          <w:rFonts w:ascii="Arial" w:cs="Arial" w:eastAsia="Arial" w:hAnsi="Arial"/>
        </w:rPr>
      </w:pPr>
      <w:r w:rsidDel="00000000" w:rsidR="00000000" w:rsidRPr="00000000">
        <w:rPr>
          <w:rFonts w:ascii="Arial" w:cs="Arial" w:eastAsia="Arial" w:hAnsi="Arial"/>
          <w:rtl w:val="0"/>
        </w:rPr>
        <w:t xml:space="preserve">Prot. n. ___ del ___</w:t>
      </w:r>
      <w:r w:rsidDel="00000000" w:rsidR="00000000" w:rsidRPr="00000000">
        <w:rPr>
          <w:rtl w:val="0"/>
        </w:rPr>
      </w:r>
    </w:p>
    <w:p w:rsidR="00000000" w:rsidDel="00000000" w:rsidP="00000000" w:rsidRDefault="00000000" w:rsidRPr="00000000" w14:paraId="00000006">
      <w:pPr>
        <w:ind w:left="567" w:firstLine="0"/>
        <w:rPr>
          <w:rFonts w:ascii="Arial" w:cs="Arial" w:eastAsia="Arial" w:hAnsi="Arial"/>
        </w:rPr>
      </w:pPr>
      <w:r w:rsidDel="00000000" w:rsidR="00000000" w:rsidRPr="00000000">
        <w:rPr>
          <w:rtl w:val="0"/>
        </w:rPr>
      </w:r>
    </w:p>
    <w:p w:rsidR="00000000" w:rsidDel="00000000" w:rsidP="00000000" w:rsidRDefault="00000000" w:rsidRPr="00000000" w14:paraId="00000007">
      <w:pPr>
        <w:ind w:left="567"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Oggetto: Emanazione del bando “CALL 2026 – 3ª edizione. Ripensare la didattica universitaria: Internazionalizzazione, didattiche plurali e didattica partecipata” </w:t>
      </w:r>
    </w:p>
    <w:p w:rsidR="00000000" w:rsidDel="00000000" w:rsidP="00000000" w:rsidRDefault="00000000" w:rsidRPr="00000000" w14:paraId="00000008">
      <w:pPr>
        <w:ind w:left="567"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9">
      <w:pPr>
        <w:ind w:left="567"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 DIRETTRICE DEL TEACHING AND LEARNING CENTER</w:t>
      </w:r>
    </w:p>
    <w:p w:rsidR="00000000" w:rsidDel="00000000" w:rsidP="00000000" w:rsidRDefault="00000000" w:rsidRPr="00000000" w14:paraId="0000000A">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Visto lo Statuto dell’Università degli Studi di Torino, emanato con Decreto Rettorale (D.R.) n. 1730 del 15 marzo 2012, pubblicato sulla Gazzetta Ufficiale (G.U.) n. 87 del 13 aprile 2012 ed entrato in vigore il 14 aprile 2012;</w:t>
      </w:r>
    </w:p>
    <w:p w:rsidR="00000000" w:rsidDel="00000000" w:rsidP="00000000" w:rsidRDefault="00000000" w:rsidRPr="00000000" w14:paraId="0000000C">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Visto il Regolamento di funzionamento del Teaching and Learning Center dell’Università degli Studi di Torino, emanato con Decreto Rettorale n. 4776 del 2023, che fa seguito all'istituzione del Centro avvenuta con D.R. n. 3738 (prot. n. 392831) del 20 luglio 2022; </w:t>
      </w:r>
    </w:p>
    <w:p w:rsidR="00000000" w:rsidDel="00000000" w:rsidP="00000000" w:rsidRDefault="00000000" w:rsidRPr="00000000" w14:paraId="0000000E">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Richiamato il Regolamento di Ateneo per l’Amministrazione, la Finanza e la Contabilità</w:t>
      </w:r>
      <w:r w:rsidDel="00000000" w:rsidR="00000000" w:rsidRPr="00000000">
        <w:rPr>
          <w:rFonts w:ascii="Arial" w:cs="Arial" w:eastAsia="Arial" w:hAnsi="Arial"/>
          <w:sz w:val="22"/>
          <w:szCs w:val="22"/>
          <w:rtl w:val="0"/>
        </w:rPr>
        <w:t xml:space="preserve">, emanato con Decreto Rettorale n. 3106 nel 2017; </w:t>
      </w:r>
      <w:r w:rsidDel="00000000" w:rsidR="00000000" w:rsidRPr="00000000">
        <w:rPr>
          <w:rtl w:val="0"/>
        </w:rPr>
      </w:r>
    </w:p>
    <w:p w:rsidR="00000000" w:rsidDel="00000000" w:rsidP="00000000" w:rsidRDefault="00000000" w:rsidRPr="00000000" w14:paraId="00000010">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Richiamata la delibera del Consiglio Direttivo del Teaching and Learning Center assunta nella seduta del 10 luglio 2026, con la quale è stata approvata l’attivazione della “CALL 2026 – 3ª edizione”;</w:t>
      </w:r>
    </w:p>
    <w:p w:rsidR="00000000" w:rsidDel="00000000" w:rsidP="00000000" w:rsidRDefault="00000000" w:rsidRPr="00000000" w14:paraId="00000012">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Considerato che il Teaching and Learning Center promuove azioni di innovazione didattica, faculty development, sviluppo delle competenze didattiche e valorizzazione di pratiche formative innovative nella Comunità universitaria;</w:t>
      </w:r>
    </w:p>
    <w:p w:rsidR="00000000" w:rsidDel="00000000" w:rsidP="00000000" w:rsidRDefault="00000000" w:rsidRPr="00000000" w14:paraId="00000014">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Considerato l’interesse del Teaching and Learning Center a sostenere progetti di innovazione didattica orientati all’internazionalizzazione, alle didattiche plurali, alla partecipazione attiva della Comunità universitaria e all’accessibilità dei percorsi formativi;</w:t>
      </w:r>
    </w:p>
    <w:p w:rsidR="00000000" w:rsidDel="00000000" w:rsidP="00000000" w:rsidRDefault="00000000" w:rsidRPr="00000000" w14:paraId="00000016">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Accertata la disponibilità finanziaria pari a euro 48.000,00, destinata all’assegnazione di n. 4 finanziamenti di euro 12.000,00 ciascuno;</w:t>
      </w:r>
    </w:p>
    <w:p w:rsidR="00000000" w:rsidDel="00000000" w:rsidP="00000000" w:rsidRDefault="00000000" w:rsidRPr="00000000" w14:paraId="00000018">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567"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DECRETA</w:t>
      </w:r>
    </w:p>
    <w:p w:rsidR="00000000" w:rsidDel="00000000" w:rsidP="00000000" w:rsidRDefault="00000000" w:rsidRPr="00000000" w14:paraId="0000001A">
      <w:pPr>
        <w:ind w:left="567"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 È emanato il bando “CALL 2026 – 3ª </w:t>
      </w:r>
      <w:r w:rsidDel="00000000" w:rsidR="00000000" w:rsidRPr="00000000">
        <w:rPr>
          <w:rFonts w:ascii="Arial" w:cs="Arial" w:eastAsia="Arial" w:hAnsi="Arial"/>
          <w:b w:val="1"/>
          <w:bCs w:val="1"/>
          <w:sz w:val="22"/>
          <w:szCs w:val="22"/>
          <w:rtl w:val="0"/>
        </w:rPr>
        <w:t xml:space="preserve">edizione. Ripensare</w:t>
      </w:r>
      <w:r w:rsidDel="00000000" w:rsidR="00000000" w:rsidRPr="00000000">
        <w:rPr>
          <w:rFonts w:ascii="Arial" w:cs="Arial" w:eastAsia="Arial" w:hAnsi="Arial"/>
          <w:b w:val="1"/>
          <w:bCs w:val="1"/>
          <w:sz w:val="22"/>
          <w:szCs w:val="22"/>
          <w:rtl w:val="0"/>
        </w:rPr>
        <w:t xml:space="preserve"> la didattica universitaria: Internazionalizzazione, didattiche plurali e didattica partecipata”, allegato al presente decreto quale parte integrante e sostanziale.</w:t>
      </w:r>
    </w:p>
    <w:p w:rsidR="00000000" w:rsidDel="00000000" w:rsidP="00000000" w:rsidRDefault="00000000" w:rsidRPr="00000000" w14:paraId="0000001C">
      <w:pPr>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D">
      <w:pPr>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 Il presente decreto e il relativo allegato sono pubblicati sul sito del Teaching and Learning Center e secondo le modalità previste dall’Ateneo.</w:t>
      </w:r>
    </w:p>
    <w:p w:rsidR="00000000" w:rsidDel="00000000" w:rsidP="00000000" w:rsidRDefault="00000000" w:rsidRPr="00000000" w14:paraId="0000001E">
      <w:pPr>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F">
      <w:pPr>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Le attività previste dal bando si svolgono secondo quanto indicato nell’Allegato A.</w:t>
      </w:r>
    </w:p>
    <w:p w:rsidR="00000000" w:rsidDel="00000000" w:rsidP="00000000" w:rsidRDefault="00000000" w:rsidRPr="00000000" w14:paraId="00000020">
      <w:pPr>
        <w:ind w:left="567"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1">
      <w:pPr>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ALLEGATO A</w:t>
      </w:r>
    </w:p>
    <w:p w:rsidR="00000000" w:rsidDel="00000000" w:rsidP="00000000" w:rsidRDefault="00000000" w:rsidRPr="00000000" w14:paraId="00000022">
      <w:pPr>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BANDO “CALL 2026 – 3ª EDIZIONE”</w:t>
      </w:r>
    </w:p>
    <w:p w:rsidR="00000000" w:rsidDel="00000000" w:rsidP="00000000" w:rsidRDefault="00000000" w:rsidRPr="00000000" w14:paraId="00000023">
      <w:pPr>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Ripensare la didattica universitaria: Internazionalizzazione, didattiche plurali e didattica partecipata</w:t>
      </w:r>
    </w:p>
    <w:p w:rsidR="00000000" w:rsidDel="00000000" w:rsidP="00000000" w:rsidRDefault="00000000" w:rsidRPr="00000000" w14:paraId="00000024">
      <w:pPr>
        <w:ind w:left="567"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after="120" w:line="276"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Art. 1 - </w:t>
      </w:r>
      <w:r w:rsidDel="00000000" w:rsidR="00000000" w:rsidRPr="00000000">
        <w:rPr>
          <w:rFonts w:ascii="Arial" w:cs="Arial" w:eastAsia="Arial" w:hAnsi="Arial"/>
          <w:b w:val="1"/>
          <w:bCs w:val="1"/>
          <w:sz w:val="22"/>
          <w:szCs w:val="22"/>
          <w:rtl w:val="0"/>
        </w:rPr>
        <w:t xml:space="preserve">Finalità e oggetto del bando</w:t>
      </w:r>
      <w:r w:rsidDel="00000000" w:rsidR="00000000" w:rsidRPr="00000000">
        <w:rPr>
          <w:rtl w:val="0"/>
        </w:rPr>
      </w:r>
    </w:p>
    <w:p w:rsidR="00000000" w:rsidDel="00000000" w:rsidP="00000000" w:rsidRDefault="00000000" w:rsidRPr="00000000" w14:paraId="00000027">
      <w:pPr>
        <w:spacing w:line="276"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presente bando disciplina la partecipazione alla </w:t>
      </w:r>
      <w:r w:rsidDel="00000000" w:rsidR="00000000" w:rsidRPr="00000000">
        <w:rPr>
          <w:rFonts w:ascii="Arial" w:cs="Arial" w:eastAsia="Arial" w:hAnsi="Arial"/>
          <w:b w:val="1"/>
          <w:bCs w:val="1"/>
          <w:sz w:val="22"/>
          <w:szCs w:val="22"/>
          <w:rtl w:val="0"/>
        </w:rPr>
        <w:t xml:space="preserve">CALL 2026 – 3ª edizione</w:t>
      </w:r>
      <w:r w:rsidDel="00000000" w:rsidR="00000000" w:rsidRPr="00000000">
        <w:rPr>
          <w:rFonts w:ascii="Arial" w:cs="Arial" w:eastAsia="Arial" w:hAnsi="Arial"/>
          <w:sz w:val="22"/>
          <w:szCs w:val="22"/>
          <w:rtl w:val="0"/>
        </w:rPr>
        <w:t xml:space="preserve">, promossa dal Teaching and Learning Center dell’Università degli Studi di Torino, finalizzata a sostenere la progettazione e la realizzazione di proposte di innovazione didattica elaborate in forma collaborativa da componenti della Comunità universitaria. La CALL 2026 intende promuovere progetti orientati al ripensamento della didattica universitaria, con particolare riferimento ai seguenti ambiti:</w:t>
      </w:r>
    </w:p>
    <w:p w:rsidR="00000000" w:rsidDel="00000000" w:rsidP="00000000" w:rsidRDefault="00000000" w:rsidRPr="00000000" w14:paraId="00000028">
      <w:pPr>
        <w:numPr>
          <w:ilvl w:val="0"/>
          <w:numId w:val="9"/>
        </w:numPr>
        <w:spacing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internazionalizzazione dei percorsi formativi e delle pratiche didattiche;</w:t>
      </w:r>
    </w:p>
    <w:p w:rsidR="00000000" w:rsidDel="00000000" w:rsidP="00000000" w:rsidRDefault="00000000" w:rsidRPr="00000000" w14:paraId="00000029">
      <w:pPr>
        <w:numPr>
          <w:ilvl w:val="0"/>
          <w:numId w:val="9"/>
        </w:numPr>
        <w:spacing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valorizzazione di didattiche plurali, inclusive e attente alla diversità dei contesti, dei bisogni e delle modalità di apprendimento;</w:t>
      </w:r>
    </w:p>
    <w:p w:rsidR="00000000" w:rsidDel="00000000" w:rsidP="00000000" w:rsidRDefault="00000000" w:rsidRPr="00000000" w14:paraId="0000002A">
      <w:pPr>
        <w:numPr>
          <w:ilvl w:val="0"/>
          <w:numId w:val="9"/>
        </w:numPr>
        <w:spacing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sviluppo di forme di didattica partecipata, fondate sul coinvolgimento attivo di più componenti della Comunità universitaria;</w:t>
      </w:r>
    </w:p>
    <w:p w:rsidR="00000000" w:rsidDel="00000000" w:rsidP="00000000" w:rsidRDefault="00000000" w:rsidRPr="00000000" w14:paraId="0000002B">
      <w:pPr>
        <w:numPr>
          <w:ilvl w:val="0"/>
          <w:numId w:val="9"/>
        </w:numPr>
        <w:spacing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promozione dell’accessibilità come criterio trasversale di progettazione, realizzazione, fruizione e valutazione delle attività formative.</w:t>
        <w:br w:type="textWrapping"/>
      </w:r>
    </w:p>
    <w:p w:rsidR="00000000" w:rsidDel="00000000" w:rsidP="00000000" w:rsidRDefault="00000000" w:rsidRPr="00000000" w14:paraId="0000002C">
      <w:pPr>
        <w:spacing w:line="276"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proposte progettuali dovranno riguardare interventi di innovazione relativi alla didattica, alla valutazione, alla progettazione curricolare, all’organizzazione degli ambienti di apprendimento, alla collaborazione tra componenti della Comunità universitaria, nonché alle relazioni con il territorio e con reti internazionali.</w:t>
      </w:r>
    </w:p>
    <w:p w:rsidR="00000000" w:rsidDel="00000000" w:rsidP="00000000" w:rsidRDefault="00000000" w:rsidRPr="00000000" w14:paraId="0000002D">
      <w:pPr>
        <w:spacing w:line="276"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bando sostiene progetti che presentino coerenza con il contesto di riferimento, fattibilità realizzativa, attenzione alla sostenibilità nel tempo e possibilità di trasferimento o adattamento ad altri insegnamenti, percorsi formativi, Corsi di Studio, Dipartimenti o ambiti istituzionali.</w:t>
      </w:r>
    </w:p>
    <w:p w:rsidR="00000000" w:rsidDel="00000000" w:rsidP="00000000" w:rsidRDefault="00000000" w:rsidRPr="00000000" w14:paraId="0000002E">
      <w:pPr>
        <w:spacing w:line="276"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after="200" w:line="276" w:lineRule="auto"/>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 2 – Dotazione finanziaria e natura del finanziamento</w:t>
      </w:r>
    </w:p>
    <w:p w:rsidR="00000000" w:rsidDel="00000000" w:rsidP="00000000" w:rsidRDefault="00000000" w:rsidRPr="00000000" w14:paraId="00000030">
      <w:pPr>
        <w:numPr>
          <w:ilvl w:val="0"/>
          <w:numId w:val="7"/>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 dotazione finanziaria ordinaria del presente bando è pari a euro 48.000,00, destinata all’assegnazione di n. 4 finanziamenti, ciascuno di importo pari a euro 12.000,00, per la realizzazione delle proposte progettuali selezionate.</w:t>
      </w:r>
    </w:p>
    <w:p w:rsidR="00000000" w:rsidDel="00000000" w:rsidP="00000000" w:rsidRDefault="00000000" w:rsidRPr="00000000" w14:paraId="00000031">
      <w:pPr>
        <w:numPr>
          <w:ilvl w:val="0"/>
          <w:numId w:val="7"/>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 risors</w:t>
      </w:r>
      <w:r w:rsidDel="00000000" w:rsidR="00000000" w:rsidRPr="00000000">
        <w:rPr>
          <w:rFonts w:ascii="Arial" w:cs="Arial" w:eastAsia="Arial" w:hAnsi="Arial"/>
          <w:sz w:val="22"/>
          <w:szCs w:val="22"/>
          <w:rtl w:val="0"/>
        </w:rPr>
        <w:t xml:space="preserve">e assegnate sono destinate esclusivamente alla realizzazione delle attività progettuali approvate. Nell’ambito di tali attività, le risorse possono essere utilizzate anche per l’erogazione di compensi, esclusivamente a favore di personale tecnico-amministrativo, personale non strutturato, studenti, secondo le modalità, i limiti e i vincoli normativi, amministrativi e contabili previsti per ciascuna figura.</w:t>
      </w:r>
    </w:p>
    <w:p w:rsidR="00000000" w:rsidDel="00000000" w:rsidP="00000000" w:rsidRDefault="00000000" w:rsidRPr="00000000" w14:paraId="00000032">
      <w:pPr>
        <w:numPr>
          <w:ilvl w:val="0"/>
          <w:numId w:val="7"/>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 caso di proposte classificate ex aequo in posizione utile o immediatamente successiva all’ultima posizione finanziabile, il TLC potrà valutare, compatibilmente con le disponibilità finanziarie e previa autorizzazione dei propri organi competenti, l’eventuale integrazione della dotazione finanziaria del bando, al fine di consentire l’assegnazione di ulteriori finanziamenti.</w:t>
      </w:r>
    </w:p>
    <w:p w:rsidR="00000000" w:rsidDel="00000000" w:rsidP="00000000" w:rsidRDefault="00000000" w:rsidRPr="00000000" w14:paraId="00000033">
      <w:pPr>
        <w:numPr>
          <w:ilvl w:val="0"/>
          <w:numId w:val="7"/>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L’eventuale assegnazione di ulteriori finanziamenti rispetto alla dotazione ordinaria di cui al comma 1 non costituisce obbligo per il Teaching and Learning Center ed è subordinata alla disponibilità effettiva delle risorse, alla loro destinabilità alle finalità del presente bando e all’adozione degli atti amministrativi necessari.</w:t>
      </w:r>
    </w:p>
    <w:p w:rsidR="00000000" w:rsidDel="00000000" w:rsidP="00000000" w:rsidRDefault="00000000" w:rsidRPr="00000000" w14:paraId="00000034">
      <w:pPr>
        <w:numPr>
          <w:ilvl w:val="0"/>
          <w:numId w:val="7"/>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 modalità di gestione delle risorse, di individuazione della struttura amministrativa di riferimento, di utilizzo dei fondi e di rendicontazione sono disciplinate dal presente bando e dalle disposizioni amministrativo-contabili applicabili presso l’Università degli Studi di Torino.</w:t>
      </w:r>
    </w:p>
    <w:p w:rsidR="00000000" w:rsidDel="00000000" w:rsidP="00000000" w:rsidRDefault="00000000" w:rsidRPr="00000000" w14:paraId="00000035">
      <w:pPr>
        <w:numPr>
          <w:ilvl w:val="0"/>
          <w:numId w:val="7"/>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Ciascun gruppo vincitore dovrà indicare la struttura di Ateneo alla quale trasferire o presso la quale gestire le risorse assegnate, nonché il relativo responsabile amministrativo o scientifico-organizzativo, secondo quanto previsto dal presente bando.</w:t>
      </w:r>
    </w:p>
    <w:p w:rsidR="00000000" w:rsidDel="00000000" w:rsidP="00000000" w:rsidRDefault="00000000" w:rsidRPr="00000000" w14:paraId="00000036">
      <w:pPr>
        <w:numPr>
          <w:ilvl w:val="0"/>
          <w:numId w:val="7"/>
        </w:numPr>
        <w:spacing w:after="20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Qualora, per ragioni amministrative o contabili, non fosse possibile procedere al trasferimento delle risorse alla struttura indicata dal gruppo vincitore, la gestione amministrativa del finanziamento potrà essere affidata al Teaching and Learning Center, nel rispetto delle procedure di Ateneo.</w:t>
      </w:r>
    </w:p>
    <w:p w:rsidR="00000000" w:rsidDel="00000000" w:rsidP="00000000" w:rsidRDefault="00000000" w:rsidRPr="00000000" w14:paraId="00000037">
      <w:pPr>
        <w:spacing w:after="120" w:line="276" w:lineRule="auto"/>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Art. </w:t>
      </w:r>
      <w:r w:rsidDel="00000000" w:rsidR="00000000" w:rsidRPr="00000000">
        <w:rPr>
          <w:rFonts w:ascii="Arial" w:cs="Arial" w:eastAsia="Arial" w:hAnsi="Arial"/>
          <w:b w:val="1"/>
          <w:bCs w:val="1"/>
          <w:sz w:val="22"/>
          <w:szCs w:val="22"/>
          <w:rtl w:val="0"/>
        </w:rPr>
        <w:t xml:space="preserve">3</w:t>
      </w:r>
      <w:r w:rsidDel="00000000" w:rsidR="00000000" w:rsidRPr="00000000">
        <w:rPr>
          <w:rFonts w:ascii="Arial" w:cs="Arial" w:eastAsia="Arial" w:hAnsi="Arial"/>
          <w:b w:val="1"/>
          <w:bCs w:val="1"/>
          <w:color w:val="000000"/>
          <w:sz w:val="22"/>
          <w:szCs w:val="22"/>
          <w:rtl w:val="0"/>
        </w:rPr>
        <w:t xml:space="preserve"> - Partecipanti e composizione dei gruppi</w:t>
      </w:r>
      <w:r w:rsidDel="00000000" w:rsidR="00000000" w:rsidRPr="00000000">
        <w:rPr>
          <w:rtl w:val="0"/>
        </w:rPr>
      </w:r>
    </w:p>
    <w:p w:rsidR="00000000" w:rsidDel="00000000" w:rsidP="00000000" w:rsidRDefault="00000000" w:rsidRPr="00000000" w14:paraId="00000038">
      <w:pPr>
        <w:numPr>
          <w:ilvl w:val="0"/>
          <w:numId w:val="8"/>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 partecipazione al presente bando è aperta a gruppi costituiti da componenti della Comunità universitaria dell’Università degli Studi di Torino e, secondo quanto previsto dal presente articolo, da personale docente o tecnico-amministrativo di Università straniere afferenti alla rete UNITA.</w:t>
      </w:r>
    </w:p>
    <w:p w:rsidR="00000000" w:rsidDel="00000000" w:rsidP="00000000" w:rsidRDefault="00000000" w:rsidRPr="00000000" w14:paraId="00000039">
      <w:pPr>
        <w:numPr>
          <w:ilvl w:val="0"/>
          <w:numId w:val="8"/>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Ogni gruppo deve essere composto da un numero minimo di 3 e da un numero massimo di 8 componenti, incluso il/la referente.</w:t>
      </w:r>
    </w:p>
    <w:p w:rsidR="00000000" w:rsidDel="00000000" w:rsidP="00000000" w:rsidRDefault="00000000" w:rsidRPr="00000000" w14:paraId="0000003A">
      <w:pPr>
        <w:numPr>
          <w:ilvl w:val="0"/>
          <w:numId w:val="8"/>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Possono far parte dei gruppi, nel rispetto dei requisiti di composizione indicati ai commi successivi:</w:t>
      </w:r>
    </w:p>
    <w:p w:rsidR="00000000" w:rsidDel="00000000" w:rsidP="00000000" w:rsidRDefault="00000000" w:rsidRPr="00000000" w14:paraId="0000003B">
      <w:pPr>
        <w:numPr>
          <w:ilvl w:val="1"/>
          <w:numId w:val="8"/>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personale docente dell’Università degli Studi di Torino;</w:t>
      </w:r>
    </w:p>
    <w:p w:rsidR="00000000" w:rsidDel="00000000" w:rsidP="00000000" w:rsidRDefault="00000000" w:rsidRPr="00000000" w14:paraId="0000003C">
      <w:pPr>
        <w:numPr>
          <w:ilvl w:val="1"/>
          <w:numId w:val="8"/>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personale tecnico-amministrativo dell’Università degli Studi di Torino;</w:t>
      </w:r>
    </w:p>
    <w:p w:rsidR="00000000" w:rsidDel="00000000" w:rsidP="00000000" w:rsidRDefault="00000000" w:rsidRPr="00000000" w14:paraId="0000003D">
      <w:pPr>
        <w:numPr>
          <w:ilvl w:val="1"/>
          <w:numId w:val="8"/>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personale non strutturato dell’Università degli Studi di Torino</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E">
      <w:pPr>
        <w:numPr>
          <w:ilvl w:val="1"/>
          <w:numId w:val="8"/>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studentesse e studenti dell’Università degli Studi di Torino</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F">
      <w:pPr>
        <w:numPr>
          <w:ilvl w:val="1"/>
          <w:numId w:val="8"/>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personale docente o tecnico-amministrativo o studenti di </w:t>
      </w:r>
      <w:r w:rsidDel="00000000" w:rsidR="00000000" w:rsidRPr="00000000">
        <w:rPr>
          <w:rFonts w:ascii="Arial" w:cs="Arial" w:eastAsia="Arial" w:hAnsi="Arial"/>
          <w:sz w:val="22"/>
          <w:szCs w:val="22"/>
          <w:rtl w:val="0"/>
        </w:rPr>
        <w:t xml:space="preserve">Università</w:t>
      </w:r>
      <w:r w:rsidDel="00000000" w:rsidR="00000000" w:rsidRPr="00000000">
        <w:rPr>
          <w:rFonts w:ascii="Arial" w:cs="Arial" w:eastAsia="Arial" w:hAnsi="Arial"/>
          <w:sz w:val="22"/>
          <w:szCs w:val="22"/>
          <w:rtl w:val="0"/>
        </w:rPr>
        <w:t xml:space="preserve"> straniere afferenti alla rete UNITA.</w:t>
      </w:r>
    </w:p>
    <w:p w:rsidR="00000000" w:rsidDel="00000000" w:rsidP="00000000" w:rsidRDefault="00000000" w:rsidRPr="00000000" w14:paraId="00000040">
      <w:pPr>
        <w:numPr>
          <w:ilvl w:val="0"/>
          <w:numId w:val="8"/>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 ogni gruppo devono essere presenti almeno:</w:t>
      </w:r>
    </w:p>
    <w:p w:rsidR="00000000" w:rsidDel="00000000" w:rsidP="00000000" w:rsidRDefault="00000000" w:rsidRPr="00000000" w14:paraId="00000041">
      <w:pPr>
        <w:numPr>
          <w:ilvl w:val="1"/>
          <w:numId w:val="8"/>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un/una componente della popolazione studentesca dell’Università degli Studi di Torino;</w:t>
      </w:r>
    </w:p>
    <w:p w:rsidR="00000000" w:rsidDel="00000000" w:rsidP="00000000" w:rsidRDefault="00000000" w:rsidRPr="00000000" w14:paraId="00000042">
      <w:pPr>
        <w:numPr>
          <w:ilvl w:val="1"/>
          <w:numId w:val="8"/>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un/una componente del personale tecnico-amministrativo dell’Università degli Studi di Torino oppure del personale non strutturato dell’Università degli Studi di Torino</w:t>
      </w:r>
    </w:p>
    <w:p w:rsidR="00000000" w:rsidDel="00000000" w:rsidP="00000000" w:rsidRDefault="00000000" w:rsidRPr="00000000" w14:paraId="00000043">
      <w:pPr>
        <w:numPr>
          <w:ilvl w:val="0"/>
          <w:numId w:val="8"/>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Il personale docente o tecnico-amministrativo di Università straniere afferenti alla rete UNITA, qualora inserito nel gruppo, è conteggiato sia ai fini del numero minimo e massimo di componenti sia ai fini della composizione per categorie differenti. Ai fini del presente bando, tale personale costituisce una categoria autonoma rispetto alle altre categorie indicate al comma 3.</w:t>
      </w:r>
      <w:r w:rsidDel="00000000" w:rsidR="00000000" w:rsidRPr="00000000">
        <w:rPr>
          <w:rtl w:val="0"/>
        </w:rPr>
      </w:r>
    </w:p>
    <w:p w:rsidR="00000000" w:rsidDel="00000000" w:rsidP="00000000" w:rsidRDefault="00000000" w:rsidRPr="00000000" w14:paraId="00000044">
      <w:pPr>
        <w:numPr>
          <w:ilvl w:val="0"/>
          <w:numId w:val="8"/>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Ogni gruppo deve individuare un/una referente, responsabile della presentazione dell’idea progettuale, delle comunicazioni con il Teaching and Learning Center e del coordinamento delle attività previste dal bando. Il/la referente deve essere una persona afferente all’Università degli Studi di Torino. Il personale di Università straniere afferenti alla rete UNITA non può assumere il ruolo di referente.</w:t>
      </w:r>
    </w:p>
    <w:p w:rsidR="00000000" w:rsidDel="00000000" w:rsidP="00000000" w:rsidRDefault="00000000" w:rsidRPr="00000000" w14:paraId="00000045">
      <w:pPr>
        <w:numPr>
          <w:ilvl w:val="0"/>
          <w:numId w:val="8"/>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Eventuali partner, collaboratori o soggetti ulteriori funzionali alla realizzazione del progetto possono essere indicati nella proposta progettuale, specificandone il ruolo previsto. Tali soggetti non sono conteggiati ai fini del numero minimo e massimo di componenti del gruppo, salvo che siano espressamente inseriti tra i componenti di cui al c</w:t>
      </w:r>
      <w:r w:rsidDel="00000000" w:rsidR="00000000" w:rsidRPr="00000000">
        <w:rPr>
          <w:rFonts w:ascii="Arial" w:cs="Arial" w:eastAsia="Arial" w:hAnsi="Arial"/>
          <w:sz w:val="22"/>
          <w:szCs w:val="22"/>
          <w:rtl w:val="0"/>
        </w:rPr>
        <w:t xml:space="preserve">omma 3.</w:t>
      </w:r>
      <w:r w:rsidDel="00000000" w:rsidR="00000000" w:rsidRPr="00000000">
        <w:rPr>
          <w:rtl w:val="0"/>
        </w:rPr>
      </w:r>
    </w:p>
    <w:p w:rsidR="00000000" w:rsidDel="00000000" w:rsidP="00000000" w:rsidRDefault="00000000" w:rsidRPr="00000000" w14:paraId="00000046">
      <w:pPr>
        <w:numPr>
          <w:ilvl w:val="0"/>
          <w:numId w:val="8"/>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Il personale docente o tecnico-amministrativo di Università straniere afferenti alla rete UNITA può beneficiare indirettamente delle risorse progettuali esclusivamente in relazione ad attività coerenti con il progetto approvato e nel rispetto delle disposizioni amministrativo-contabili applicabili presso l’Università degli Studi di Torino.</w:t>
      </w:r>
    </w:p>
    <w:p w:rsidR="00000000" w:rsidDel="00000000" w:rsidP="00000000" w:rsidRDefault="00000000" w:rsidRPr="00000000" w14:paraId="00000047">
      <w:pPr>
        <w:numPr>
          <w:ilvl w:val="0"/>
          <w:numId w:val="8"/>
        </w:numPr>
        <w:spacing w:after="12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 componenti del Consiglio Direttivo del Teaching and Learning Center non possono partecipare al bando in qualità di proponenti, componenti dei gruppi o referenti progettuali. Possono tuttavia svolgere funzioni di facilitazione metodologica, secondo modalità definite dal Teaching and Learning Center e nel rispetto dei principi di imparzialità, trasparenza e parità di trattamento tra i gruppi partecipanti.</w:t>
      </w:r>
    </w:p>
    <w:p w:rsidR="00000000" w:rsidDel="00000000" w:rsidP="00000000" w:rsidRDefault="00000000" w:rsidRPr="00000000" w14:paraId="00000048">
      <w:pPr>
        <w:spacing w:after="200" w:line="276"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bCs w:val="1"/>
          <w:color w:val="000000"/>
          <w:sz w:val="22"/>
          <w:szCs w:val="22"/>
          <w:rtl w:val="0"/>
        </w:rPr>
        <w:t xml:space="preserve">Art. </w:t>
      </w:r>
      <w:r w:rsidDel="00000000" w:rsidR="00000000" w:rsidRPr="00000000">
        <w:rPr>
          <w:rFonts w:ascii="Arial" w:cs="Arial" w:eastAsia="Arial" w:hAnsi="Arial"/>
          <w:b w:val="1"/>
          <w:bCs w:val="1"/>
          <w:sz w:val="22"/>
          <w:szCs w:val="22"/>
          <w:rtl w:val="0"/>
        </w:rPr>
        <w:t xml:space="preserve">4</w:t>
      </w:r>
      <w:r w:rsidDel="00000000" w:rsidR="00000000" w:rsidRPr="00000000">
        <w:rPr>
          <w:rFonts w:ascii="Arial" w:cs="Arial" w:eastAsia="Arial" w:hAnsi="Arial"/>
          <w:b w:val="1"/>
          <w:bCs w:val="1"/>
          <w:color w:val="000000"/>
          <w:sz w:val="22"/>
          <w:szCs w:val="22"/>
          <w:rtl w:val="0"/>
        </w:rPr>
        <w:t xml:space="preserve"> - </w:t>
      </w:r>
      <w:r w:rsidDel="00000000" w:rsidR="00000000" w:rsidRPr="00000000">
        <w:rPr>
          <w:rFonts w:ascii="Arial" w:cs="Arial" w:eastAsia="Arial" w:hAnsi="Arial"/>
          <w:b w:val="1"/>
          <w:bCs w:val="1"/>
          <w:sz w:val="22"/>
          <w:szCs w:val="22"/>
          <w:rtl w:val="0"/>
        </w:rPr>
        <w:t xml:space="preserve">Ambiti, caratteristiche e tempi di realizzazione delle proposte</w:t>
      </w:r>
      <w:r w:rsidDel="00000000" w:rsidR="00000000" w:rsidRPr="00000000">
        <w:rPr>
          <w:rtl w:val="0"/>
        </w:rPr>
      </w:r>
    </w:p>
    <w:p w:rsidR="00000000" w:rsidDel="00000000" w:rsidP="00000000" w:rsidRDefault="00000000" w:rsidRPr="00000000" w14:paraId="00000049">
      <w:pPr>
        <w:numPr>
          <w:ilvl w:val="0"/>
          <w:numId w:val="2"/>
        </w:numPr>
        <w:spacing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 </w:t>
      </w:r>
      <w:r w:rsidDel="00000000" w:rsidR="00000000" w:rsidRPr="00000000">
        <w:rPr>
          <w:rFonts w:ascii="Arial" w:cs="Arial" w:eastAsia="Arial" w:hAnsi="Arial"/>
          <w:sz w:val="22"/>
          <w:szCs w:val="22"/>
          <w:rtl w:val="0"/>
        </w:rPr>
        <w:t xml:space="preserve">proposte di innovazione devono essere coerenti con le finalità del presente bando (in particolare art. 1) e riguardare uno o più aspetti della didattica, della valutazione, della progettazione dei percorsi formativi, dell’organizzazione degli ambienti di apprendimento e della partecipazione della Comunità universitaria alla vita formativa dell’Ateneo.</w:t>
      </w:r>
    </w:p>
    <w:p w:rsidR="00000000" w:rsidDel="00000000" w:rsidP="00000000" w:rsidRDefault="00000000" w:rsidRPr="00000000" w14:paraId="0000004A">
      <w:pPr>
        <w:numPr>
          <w:ilvl w:val="0"/>
          <w:numId w:val="2"/>
        </w:numPr>
        <w:spacing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 proposte devono assumere l’accessibilità come criterio trasversale di progettazione, realizzazione e verifica. In tale prospettiva, i progetti dovranno promuovere condizioni più inclusive di partecipazione, scambio e fruizione dei percorsi formativi, con attenzione alle barriere didattiche, organizzative, comunicative, digitali, linguistiche e relazionali.</w:t>
      </w:r>
    </w:p>
    <w:p w:rsidR="00000000" w:rsidDel="00000000" w:rsidP="00000000" w:rsidRDefault="00000000" w:rsidRPr="00000000" w14:paraId="0000004B">
      <w:pPr>
        <w:numPr>
          <w:ilvl w:val="0"/>
          <w:numId w:val="2"/>
        </w:numPr>
        <w:spacing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 proposte potranno riferirsi, a titolo esemplificativo, a singoli insegnamenti, gruppi di insegnamenti, filiere formative, Corsi di Studio, percorsi formativi di Ateneo, attività di raccordo con il territorio, iniziative in prospettiva di formazione continua, ECM e sicurezza, nonché a relazioni, collaborazioni e scambi internazionali.</w:t>
      </w:r>
    </w:p>
    <w:p w:rsidR="00000000" w:rsidDel="00000000" w:rsidP="00000000" w:rsidRDefault="00000000" w:rsidRPr="00000000" w14:paraId="0000004C">
      <w:pPr>
        <w:numPr>
          <w:ilvl w:val="0"/>
          <w:numId w:val="2"/>
        </w:numPr>
        <w:spacing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 progettazione dovrà evidenziare le ragioni che rendono la proposta necessaria o opportuna rispetto al contesto specifico di riferimento, indicando i bisogni intercettati, i destinatari coinvolti, gli obiettivi perseguiti e le principali modalità di intervento.</w:t>
      </w:r>
    </w:p>
    <w:p w:rsidR="00000000" w:rsidDel="00000000" w:rsidP="00000000" w:rsidRDefault="00000000" w:rsidRPr="00000000" w14:paraId="0000004D">
      <w:pPr>
        <w:numPr>
          <w:ilvl w:val="0"/>
          <w:numId w:val="2"/>
        </w:numPr>
        <w:spacing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 proposte dovranno inoltre tenere conto della fattibilità concreta delle attività previste, della sostenibilità nel tempo e della possibilità di trasferimento, adattamento o replicabilità in altri contesti didattici, formativi o istituzionali.</w:t>
      </w:r>
    </w:p>
    <w:p w:rsidR="00000000" w:rsidDel="00000000" w:rsidP="00000000" w:rsidRDefault="00000000" w:rsidRPr="00000000" w14:paraId="0000004E">
      <w:pPr>
        <w:numPr>
          <w:ilvl w:val="0"/>
          <w:numId w:val="2"/>
        </w:numPr>
        <w:spacing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 progetti selezionati dovranno essere realizzati nel secondo semestre dell’a.a. 2026/2027 e/o nel primo e/o nel secondo semestre dell’a.a. 2027/2028.</w:t>
      </w:r>
      <w:r w:rsidDel="00000000" w:rsidR="00000000" w:rsidRPr="00000000">
        <w:rPr>
          <w:rtl w:val="0"/>
        </w:rPr>
      </w:r>
    </w:p>
    <w:p w:rsidR="00000000" w:rsidDel="00000000" w:rsidP="00000000" w:rsidRDefault="00000000" w:rsidRPr="00000000" w14:paraId="0000004F">
      <w:pPr>
        <w:spacing w:line="276"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after="120" w:line="276" w:lineRule="auto"/>
        <w:ind w:left="567"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Art. 4 – </w:t>
      </w:r>
      <w:r w:rsidDel="00000000" w:rsidR="00000000" w:rsidRPr="00000000">
        <w:rPr>
          <w:rFonts w:ascii="Arial" w:cs="Arial" w:eastAsia="Arial" w:hAnsi="Arial"/>
          <w:b w:val="1"/>
          <w:bCs w:val="1"/>
          <w:sz w:val="22"/>
          <w:szCs w:val="22"/>
          <w:rtl w:val="0"/>
        </w:rPr>
        <w:t xml:space="preserve">Modalità e termini di presentazione dell’idea progettuale</w:t>
      </w:r>
      <w:r w:rsidDel="00000000" w:rsidR="00000000" w:rsidRPr="00000000">
        <w:rPr>
          <w:rtl w:val="0"/>
        </w:rPr>
      </w:r>
    </w:p>
    <w:p w:rsidR="00000000" w:rsidDel="00000000" w:rsidP="00000000" w:rsidRDefault="00000000" w:rsidRPr="00000000" w14:paraId="00000051">
      <w:pPr>
        <w:numPr>
          <w:ilvl w:val="0"/>
          <w:numId w:val="5"/>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L’idea progettuale dovrà essere presentata dal referente di ogni gruppo compilando l’apposito </w:t>
      </w:r>
      <w:hyperlink r:id="rId8">
        <w:r w:rsidDel="00000000" w:rsidR="00000000" w:rsidRPr="00000000">
          <w:rPr>
            <w:rFonts w:ascii="Arial" w:cs="Arial" w:eastAsia="Arial" w:hAnsi="Arial"/>
            <w:color w:val="1155cc"/>
            <w:sz w:val="22"/>
            <w:szCs w:val="22"/>
            <w:u w:val="single"/>
            <w:rtl w:val="0"/>
          </w:rPr>
          <w:t xml:space="preserve">form</w:t>
        </w:r>
      </w:hyperlink>
      <w:r w:rsidDel="00000000" w:rsidR="00000000" w:rsidRPr="00000000">
        <w:rPr>
          <w:rFonts w:ascii="Arial" w:cs="Arial" w:eastAsia="Arial" w:hAnsi="Arial"/>
          <w:sz w:val="22"/>
          <w:szCs w:val="22"/>
          <w:rtl w:val="0"/>
        </w:rPr>
        <w:t xml:space="preserve"> r</w:t>
      </w:r>
      <w:r w:rsidDel="00000000" w:rsidR="00000000" w:rsidRPr="00000000">
        <w:rPr>
          <w:rFonts w:ascii="Arial" w:cs="Arial" w:eastAsia="Arial" w:hAnsi="Arial"/>
          <w:sz w:val="22"/>
          <w:szCs w:val="22"/>
          <w:rtl w:val="0"/>
        </w:rPr>
        <w:t xml:space="preserve">eperibile sul sito del Teaching and Learning Center (</w:t>
      </w:r>
      <w:hyperlink r:id="rId9">
        <w:r w:rsidDel="00000000" w:rsidR="00000000" w:rsidRPr="00000000">
          <w:rPr>
            <w:rFonts w:ascii="Arial" w:cs="Arial" w:eastAsia="Arial" w:hAnsi="Arial"/>
            <w:color w:val="0000ff"/>
            <w:sz w:val="22"/>
            <w:szCs w:val="22"/>
            <w:u w:val="single"/>
            <w:rtl w:val="0"/>
          </w:rPr>
          <w:t xml:space="preserve">www.teachingandlearningcenter.unito.it</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entro il 30 settembre 2026 ore 12.00.</w:t>
      </w:r>
      <w:r w:rsidDel="00000000" w:rsidR="00000000" w:rsidRPr="00000000">
        <w:rPr>
          <w:rtl w:val="0"/>
        </w:rPr>
      </w:r>
    </w:p>
    <w:p w:rsidR="00000000" w:rsidDel="00000000" w:rsidP="00000000" w:rsidRDefault="00000000" w:rsidRPr="00000000" w14:paraId="00000052">
      <w:pPr>
        <w:numPr>
          <w:ilvl w:val="0"/>
          <w:numId w:val="5"/>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 candidatura dovrà contenere:</w:t>
      </w:r>
    </w:p>
    <w:p w:rsidR="00000000" w:rsidDel="00000000" w:rsidP="00000000" w:rsidRDefault="00000000" w:rsidRPr="00000000" w14:paraId="00000053">
      <w:pPr>
        <w:numPr>
          <w:ilvl w:val="1"/>
          <w:numId w:val="5"/>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nome e cognome, ruolo, afferenza e indirizzo e-mail del/della referente del gruppo;</w:t>
      </w:r>
    </w:p>
    <w:p w:rsidR="00000000" w:rsidDel="00000000" w:rsidP="00000000" w:rsidRDefault="00000000" w:rsidRPr="00000000" w14:paraId="00000054">
      <w:pPr>
        <w:numPr>
          <w:ilvl w:val="1"/>
          <w:numId w:val="5"/>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nome e cognome, ruolo, afferenza e indirizzo e-mail di ciascun componente del gruppo;</w:t>
      </w:r>
    </w:p>
    <w:p w:rsidR="00000000" w:rsidDel="00000000" w:rsidP="00000000" w:rsidRDefault="00000000" w:rsidRPr="00000000" w14:paraId="00000055">
      <w:pPr>
        <w:numPr>
          <w:ilvl w:val="1"/>
          <w:numId w:val="5"/>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indicazione della categoria di appartenenza di ciascun componente, secondo quanto previsto dall’art. 3 del presente bando;</w:t>
      </w:r>
    </w:p>
    <w:p w:rsidR="00000000" w:rsidDel="00000000" w:rsidP="00000000" w:rsidRDefault="00000000" w:rsidRPr="00000000" w14:paraId="00000056">
      <w:pPr>
        <w:numPr>
          <w:ilvl w:val="1"/>
          <w:numId w:val="5"/>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nome del gruppo;</w:t>
      </w:r>
    </w:p>
    <w:p w:rsidR="00000000" w:rsidDel="00000000" w:rsidP="00000000" w:rsidRDefault="00000000" w:rsidRPr="00000000" w14:paraId="00000057">
      <w:pPr>
        <w:numPr>
          <w:ilvl w:val="1"/>
          <w:numId w:val="5"/>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breve descrizione dell’idea progettuale che si intende elaborare, compresa tra un minimo di 500 e un massimo di 1.000 caratteri, spazi esclusi;</w:t>
      </w:r>
    </w:p>
    <w:p w:rsidR="00000000" w:rsidDel="00000000" w:rsidP="00000000" w:rsidRDefault="00000000" w:rsidRPr="00000000" w14:paraId="00000058">
      <w:pPr>
        <w:numPr>
          <w:ilvl w:val="1"/>
          <w:numId w:val="5"/>
        </w:numPr>
        <w:spacing w:after="0" w:afterAutospacing="0" w:line="276"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eventuale indicazione di partner, collaboratori o soggetti ulteriori funzionali alla realizzazione del progetto, specificandone il ruolo previsto.</w:t>
      </w:r>
    </w:p>
    <w:p w:rsidR="00000000" w:rsidDel="00000000" w:rsidP="00000000" w:rsidRDefault="00000000" w:rsidRPr="00000000" w14:paraId="00000059">
      <w:pPr>
        <w:numPr>
          <w:ilvl w:val="0"/>
          <w:numId w:val="5"/>
        </w:numPr>
        <w:spacing w:after="0" w:afterAutospacing="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presentazione dell’idea progettuale costituisce candidatura alla partecipazione alla giornata di progettazione di cui all’art. 6 e non comporta, di per sé, l’assegnazione di alcun finanziamento.</w:t>
      </w:r>
    </w:p>
    <w:p w:rsidR="00000000" w:rsidDel="00000000" w:rsidP="00000000" w:rsidRDefault="00000000" w:rsidRPr="00000000" w14:paraId="0000005A">
      <w:pPr>
        <w:numPr>
          <w:ilvl w:val="0"/>
          <w:numId w:val="5"/>
        </w:numPr>
        <w:spacing w:after="0" w:afterAutospacing="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Teaching and Learning Center verifica la completezza delle candidature pervenute e il rispetto dei requisiti di partecipazione previsti dal presente bando.</w:t>
      </w:r>
    </w:p>
    <w:p w:rsidR="00000000" w:rsidDel="00000000" w:rsidP="00000000" w:rsidRDefault="00000000" w:rsidRPr="00000000" w14:paraId="0000005B">
      <w:pPr>
        <w:numPr>
          <w:ilvl w:val="0"/>
          <w:numId w:val="5"/>
        </w:numPr>
        <w:spacing w:after="12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candidature incomplete, presentate oltre il termine previsto o non conformi ai requisiti di composizione dei gruppi indicati all’art. 3 potranno non essere ammesse alle fasi successive della procedura.</w:t>
      </w:r>
      <w:r w:rsidDel="00000000" w:rsidR="00000000" w:rsidRPr="00000000">
        <w:rPr>
          <w:rtl w:val="0"/>
        </w:rPr>
      </w:r>
    </w:p>
    <w:p w:rsidR="00000000" w:rsidDel="00000000" w:rsidP="00000000" w:rsidRDefault="00000000" w:rsidRPr="00000000" w14:paraId="0000005C">
      <w:pPr>
        <w:spacing w:line="276"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after="120" w:line="276" w:lineRule="auto"/>
        <w:ind w:left="567"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Art. </w:t>
      </w:r>
      <w:r w:rsidDel="00000000" w:rsidR="00000000" w:rsidRPr="00000000">
        <w:rPr>
          <w:rFonts w:ascii="Arial" w:cs="Arial" w:eastAsia="Arial" w:hAnsi="Arial"/>
          <w:b w:val="1"/>
          <w:bCs w:val="1"/>
          <w:sz w:val="22"/>
          <w:szCs w:val="22"/>
          <w:rtl w:val="0"/>
        </w:rPr>
        <w:t xml:space="preserve">6</w:t>
      </w:r>
      <w:r w:rsidDel="00000000" w:rsidR="00000000" w:rsidRPr="00000000">
        <w:rPr>
          <w:rFonts w:ascii="Arial" w:cs="Arial" w:eastAsia="Arial" w:hAnsi="Arial"/>
          <w:b w:val="1"/>
          <w:bCs w:val="1"/>
          <w:color w:val="000000"/>
          <w:sz w:val="22"/>
          <w:szCs w:val="22"/>
          <w:rtl w:val="0"/>
        </w:rPr>
        <w:t xml:space="preserve"> – </w:t>
      </w:r>
      <w:r w:rsidDel="00000000" w:rsidR="00000000" w:rsidRPr="00000000">
        <w:rPr>
          <w:rFonts w:ascii="Arial" w:cs="Arial" w:eastAsia="Arial" w:hAnsi="Arial"/>
          <w:b w:val="1"/>
          <w:bCs w:val="1"/>
          <w:sz w:val="22"/>
          <w:szCs w:val="22"/>
          <w:rtl w:val="0"/>
        </w:rPr>
        <w:t xml:space="preserve">Elaborazione, consegna e presentazione delle proposte di innovazione</w:t>
      </w:r>
      <w:r w:rsidDel="00000000" w:rsidR="00000000" w:rsidRPr="00000000">
        <w:rPr>
          <w:rtl w:val="0"/>
        </w:rPr>
      </w:r>
    </w:p>
    <w:p w:rsidR="00000000" w:rsidDel="00000000" w:rsidP="00000000" w:rsidRDefault="00000000" w:rsidRPr="00000000" w14:paraId="0000005E">
      <w:pPr>
        <w:numPr>
          <w:ilvl w:val="0"/>
          <w:numId w:val="4"/>
        </w:numPr>
        <w:spacing w:after="0" w:afterAutospacing="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proposte di innovazione saranno elaborate dai gruppi ammessi nel corso della giornata di progettazione in presenza</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Fonts w:ascii="Arial" w:cs="Arial" w:eastAsia="Arial" w:hAnsi="Arial"/>
          <w:sz w:val="22"/>
          <w:szCs w:val="22"/>
          <w:rtl w:val="0"/>
        </w:rPr>
        <w:t xml:space="preserve"> prevista per </w:t>
      </w:r>
      <w:r w:rsidDel="00000000" w:rsidR="00000000" w:rsidRPr="00000000">
        <w:rPr>
          <w:rFonts w:ascii="Arial" w:cs="Arial" w:eastAsia="Arial" w:hAnsi="Arial"/>
          <w:b w:val="1"/>
          <w:bCs w:val="1"/>
          <w:sz w:val="22"/>
          <w:szCs w:val="22"/>
          <w:rtl w:val="0"/>
        </w:rPr>
        <w:t xml:space="preserve">giovedì 26 novembre 2026</w:t>
      </w:r>
      <w:r w:rsidDel="00000000" w:rsidR="00000000" w:rsidRPr="00000000">
        <w:rPr>
          <w:rFonts w:ascii="Arial" w:cs="Arial" w:eastAsia="Arial" w:hAnsi="Arial"/>
          <w:sz w:val="22"/>
          <w:szCs w:val="22"/>
          <w:rtl w:val="0"/>
        </w:rPr>
        <w:t xml:space="preserve">, secondo le indicazioni metodologiche e la struttura progettuale che verranno presentate all’inizio dei lavori.</w:t>
      </w:r>
    </w:p>
    <w:p w:rsidR="00000000" w:rsidDel="00000000" w:rsidP="00000000" w:rsidRDefault="00000000" w:rsidRPr="00000000" w14:paraId="0000005F">
      <w:pPr>
        <w:numPr>
          <w:ilvl w:val="0"/>
          <w:numId w:val="4"/>
        </w:numPr>
        <w:spacing w:after="0" w:afterAutospacing="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giornata di progettazione è finalizzata allo sviluppo delle idee progettuali presentate in fase di candidatura e alla loro trasformazione in proposte di innovazione didattica complete, coerenti con le finalità del bando e valutabili dalla Commissione di cui all’art. 7.</w:t>
      </w:r>
    </w:p>
    <w:p w:rsidR="00000000" w:rsidDel="00000000" w:rsidP="00000000" w:rsidRDefault="00000000" w:rsidRPr="00000000" w14:paraId="00000060">
      <w:pPr>
        <w:numPr>
          <w:ilvl w:val="0"/>
          <w:numId w:val="4"/>
        </w:numPr>
        <w:spacing w:after="0" w:afterAutospacing="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Nel periodo compreso tra la chiusura della CALL e la giornata di progettazione, saranno rese disponibili sulla </w:t>
      </w:r>
      <w:hyperlink r:id="rId10">
        <w:r w:rsidDel="00000000" w:rsidR="00000000" w:rsidRPr="00000000">
          <w:rPr>
            <w:rFonts w:ascii="Arial" w:cs="Arial" w:eastAsia="Arial" w:hAnsi="Arial"/>
            <w:color w:val="1155cc"/>
            <w:sz w:val="22"/>
            <w:szCs w:val="22"/>
            <w:u w:val="single"/>
            <w:rtl w:val="0"/>
          </w:rPr>
          <w:t xml:space="preserve">pagina Moodle dedicata alla CALL 2026</w:t>
        </w:r>
      </w:hyperlink>
      <w:r w:rsidDel="00000000" w:rsidR="00000000" w:rsidRPr="00000000">
        <w:rPr>
          <w:rFonts w:ascii="Arial" w:cs="Arial" w:eastAsia="Arial" w:hAnsi="Arial"/>
          <w:sz w:val="22"/>
          <w:szCs w:val="22"/>
          <w:rtl w:val="0"/>
        </w:rPr>
        <w:t xml:space="preserve"> indicazioni operative ed eventuale documentazione utile che i gruppi potranno consultare o portare con sé ai fini dell’elaborazione della proposta.</w:t>
      </w:r>
    </w:p>
    <w:p w:rsidR="00000000" w:rsidDel="00000000" w:rsidP="00000000" w:rsidRDefault="00000000" w:rsidRPr="00000000" w14:paraId="00000061">
      <w:pPr>
        <w:numPr>
          <w:ilvl w:val="0"/>
          <w:numId w:val="4"/>
        </w:numPr>
        <w:spacing w:after="0" w:afterAutospacing="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proposte elaborate durante la giornata di progettazione dovranno essere consegnate secondo le modalità, il formato e i tempi comunicati dal Teaching and Learning Center all’inizio dei lavori.</w:t>
      </w:r>
    </w:p>
    <w:p w:rsidR="00000000" w:rsidDel="00000000" w:rsidP="00000000" w:rsidRDefault="00000000" w:rsidRPr="00000000" w14:paraId="00000062">
      <w:pPr>
        <w:numPr>
          <w:ilvl w:val="0"/>
          <w:numId w:val="4"/>
        </w:numPr>
        <w:spacing w:after="0" w:afterAutospacing="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progetti consegnati saranno presentati alla Commissione di valutazione nella giornata di </w:t>
      </w:r>
      <w:r w:rsidDel="00000000" w:rsidR="00000000" w:rsidRPr="00000000">
        <w:rPr>
          <w:rFonts w:ascii="Arial" w:cs="Arial" w:eastAsia="Arial" w:hAnsi="Arial"/>
          <w:b w:val="1"/>
          <w:bCs w:val="1"/>
          <w:sz w:val="22"/>
          <w:szCs w:val="22"/>
          <w:rtl w:val="0"/>
        </w:rPr>
        <w:t xml:space="preserve">venerdì 27 novembre 2026</w:t>
      </w:r>
      <w:r w:rsidDel="00000000" w:rsidR="00000000" w:rsidRPr="00000000">
        <w:rPr>
          <w:rFonts w:ascii="Arial" w:cs="Arial" w:eastAsia="Arial" w:hAnsi="Arial"/>
          <w:sz w:val="22"/>
          <w:szCs w:val="22"/>
          <w:rtl w:val="0"/>
        </w:rPr>
        <w:t xml:space="preserve">, alla presenza di almeno un/una componente di ciascun gruppo.</w:t>
      </w:r>
    </w:p>
    <w:p w:rsidR="00000000" w:rsidDel="00000000" w:rsidP="00000000" w:rsidRDefault="00000000" w:rsidRPr="00000000" w14:paraId="00000063">
      <w:pPr>
        <w:numPr>
          <w:ilvl w:val="0"/>
          <w:numId w:val="4"/>
        </w:numPr>
        <w:spacing w:after="0" w:afterAutospacing="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presentazione alla Commissione costituisce parte integrante della procedura di valutazione. A conclusione delle attività di valutazione seguirà la cerimonia di premiazione, secondo il programma comunicato dal Teaching and Learning Center.</w:t>
      </w:r>
    </w:p>
    <w:p w:rsidR="00000000" w:rsidDel="00000000" w:rsidP="00000000" w:rsidRDefault="00000000" w:rsidRPr="00000000" w14:paraId="00000064">
      <w:pPr>
        <w:numPr>
          <w:ilvl w:val="0"/>
          <w:numId w:val="4"/>
        </w:numPr>
        <w:spacing w:after="12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Ulteriori dettagli organizzativi relativi alle giornate di progettazione, presentazione e premiazione saranno comunicati ai gruppi ammessi dopo la chiusura delle candidature.</w:t>
      </w:r>
    </w:p>
    <w:p w:rsidR="00000000" w:rsidDel="00000000" w:rsidP="00000000" w:rsidRDefault="00000000" w:rsidRPr="00000000" w14:paraId="00000065">
      <w:pPr>
        <w:spacing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after="120" w:line="276" w:lineRule="auto"/>
        <w:ind w:left="567"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Art. </w:t>
      </w:r>
      <w:r w:rsidDel="00000000" w:rsidR="00000000" w:rsidRPr="00000000">
        <w:rPr>
          <w:rFonts w:ascii="Arial" w:cs="Arial" w:eastAsia="Arial" w:hAnsi="Arial"/>
          <w:b w:val="1"/>
          <w:bCs w:val="1"/>
          <w:sz w:val="22"/>
          <w:szCs w:val="22"/>
          <w:rtl w:val="0"/>
        </w:rPr>
        <w:t xml:space="preserve">7</w:t>
      </w:r>
      <w:r w:rsidDel="00000000" w:rsidR="00000000" w:rsidRPr="00000000">
        <w:rPr>
          <w:rFonts w:ascii="Arial" w:cs="Arial" w:eastAsia="Arial" w:hAnsi="Arial"/>
          <w:b w:val="1"/>
          <w:bCs w:val="1"/>
          <w:color w:val="000000"/>
          <w:sz w:val="22"/>
          <w:szCs w:val="22"/>
          <w:rtl w:val="0"/>
        </w:rPr>
        <w:t xml:space="preserve"> – </w:t>
      </w:r>
      <w:r w:rsidDel="00000000" w:rsidR="00000000" w:rsidRPr="00000000">
        <w:rPr>
          <w:rFonts w:ascii="Arial" w:cs="Arial" w:eastAsia="Arial" w:hAnsi="Arial"/>
          <w:b w:val="1"/>
          <w:bCs w:val="1"/>
          <w:sz w:val="22"/>
          <w:szCs w:val="22"/>
          <w:rtl w:val="0"/>
        </w:rPr>
        <w:t xml:space="preserve">Commissione di valutazione, criteri di selezione e assegnazione dei finanziamenti</w:t>
      </w:r>
      <w:r w:rsidDel="00000000" w:rsidR="00000000" w:rsidRPr="00000000">
        <w:rPr>
          <w:rtl w:val="0"/>
        </w:rPr>
      </w:r>
    </w:p>
    <w:p w:rsidR="00000000" w:rsidDel="00000000" w:rsidP="00000000" w:rsidRDefault="00000000" w:rsidRPr="00000000" w14:paraId="00000067">
      <w:pPr>
        <w:numPr>
          <w:ilvl w:val="0"/>
          <w:numId w:val="1"/>
        </w:numPr>
        <w:spacing w:after="0" w:afterAutospacing="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Le proposte vincitrici verranno selezionate da una</w:t>
      </w:r>
      <w:r w:rsidDel="00000000" w:rsidR="00000000" w:rsidRPr="00000000">
        <w:rPr>
          <w:rFonts w:ascii="Arial" w:cs="Arial" w:eastAsia="Arial" w:hAnsi="Arial"/>
          <w:sz w:val="22"/>
          <w:szCs w:val="22"/>
          <w:rtl w:val="0"/>
        </w:rPr>
        <w:t xml:space="preserve"> Commissione nominata dal Consiglio Direttivo</w:t>
      </w:r>
      <w:r w:rsidDel="00000000" w:rsidR="00000000" w:rsidRPr="00000000">
        <w:rPr>
          <w:rFonts w:ascii="Arial" w:cs="Arial" w:eastAsia="Arial" w:hAnsi="Arial"/>
          <w:color w:val="000000"/>
          <w:sz w:val="22"/>
          <w:szCs w:val="22"/>
          <w:rtl w:val="0"/>
        </w:rPr>
        <w:t xml:space="preserve"> del Teaching and Learning Center. </w:t>
      </w:r>
      <w:r w:rsidDel="00000000" w:rsidR="00000000" w:rsidRPr="00000000">
        <w:rPr>
          <w:rFonts w:ascii="Arial" w:cs="Arial" w:eastAsia="Arial" w:hAnsi="Arial"/>
          <w:sz w:val="22"/>
          <w:szCs w:val="22"/>
          <w:rtl w:val="0"/>
        </w:rPr>
        <w:t xml:space="preserve">La Commissione potrà essere articolata in sotto-commissioni, ferma restando la collegialità della valutazione finale e l’approvazione degli esiti complessivi della procedura.</w:t>
      </w:r>
    </w:p>
    <w:p w:rsidR="00000000" w:rsidDel="00000000" w:rsidP="00000000" w:rsidRDefault="00000000" w:rsidRPr="00000000" w14:paraId="00000068">
      <w:pPr>
        <w:numPr>
          <w:ilvl w:val="0"/>
          <w:numId w:val="1"/>
        </w:numPr>
        <w:spacing w:after="0" w:afterAutospacing="0" w:line="276" w:lineRule="auto"/>
        <w:ind w:left="850.3937007874016" w:hanging="283.464566929134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valutazione sarà effettuata sulla base </w:t>
      </w:r>
      <w:r w:rsidDel="00000000" w:rsidR="00000000" w:rsidRPr="00000000">
        <w:rPr>
          <w:rFonts w:ascii="Arial" w:cs="Arial" w:eastAsia="Arial" w:hAnsi="Arial"/>
          <w:color w:val="000000"/>
          <w:sz w:val="22"/>
          <w:szCs w:val="22"/>
          <w:rtl w:val="0"/>
        </w:rPr>
        <w:t xml:space="preserve">dei seguenti criteri: </w:t>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spacing w:line="276" w:lineRule="auto"/>
        <w:ind w:left="1287" w:hanging="36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coerenza della proposta con le finalità e gli ambiti tematici del presente bando;</w:t>
      </w:r>
      <w:r w:rsidDel="00000000" w:rsidR="00000000" w:rsidRPr="00000000">
        <w:rPr>
          <w:rtl w:val="0"/>
        </w:rPr>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line="276" w:lineRule="auto"/>
        <w:ind w:left="1287"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innovatività;</w:t>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spacing w:line="276" w:lineRule="auto"/>
        <w:ind w:left="1287"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rigore metodologico;</w:t>
      </w:r>
    </w:p>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spacing w:line="276" w:lineRule="auto"/>
        <w:ind w:left="1287"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integrazione con il contesto di riferimento;</w:t>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spacing w:line="276" w:lineRule="auto"/>
        <w:ind w:left="1287" w:hanging="36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fattibilità organizzativa, temporale ed economica;</w:t>
      </w:r>
      <w:r w:rsidDel="00000000" w:rsidR="00000000" w:rsidRPr="00000000">
        <w:rPr>
          <w:rtl w:val="0"/>
        </w:rPr>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line="276" w:lineRule="auto"/>
        <w:ind w:left="1287"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originalità;</w:t>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line="276" w:lineRule="auto"/>
        <w:ind w:left="1287"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piano di monitoraggio e valutazione;</w:t>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after="120" w:line="276" w:lineRule="auto"/>
        <w:ind w:left="1287"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sostenibilità, trasferibilità e replicabilità </w:t>
      </w:r>
    </w:p>
    <w:p w:rsidR="00000000" w:rsidDel="00000000" w:rsidP="00000000" w:rsidRDefault="00000000" w:rsidRPr="00000000" w14:paraId="00000071">
      <w:pPr>
        <w:numPr>
          <w:ilvl w:val="0"/>
          <w:numId w:val="1"/>
        </w:numPr>
        <w:spacing w:after="0" w:afterAutospacing="0" w:line="276" w:lineRule="auto"/>
        <w:ind w:left="850.3937007874016" w:hanging="288.070866141732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 Commissione procederà alla selezione delle proposte vincitrici individuando, di norma, n. 4 progetti destinatari dei finanziamenti previsti dall’art. 2 del presente bando. </w:t>
      </w:r>
    </w:p>
    <w:p w:rsidR="00000000" w:rsidDel="00000000" w:rsidP="00000000" w:rsidRDefault="00000000" w:rsidRPr="00000000" w14:paraId="00000072">
      <w:pPr>
        <w:numPr>
          <w:ilvl w:val="0"/>
          <w:numId w:val="1"/>
        </w:numPr>
        <w:spacing w:after="0" w:afterAutospacing="0" w:line="276" w:lineRule="auto"/>
        <w:ind w:left="850.3937007874016" w:hanging="288.070866141732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 caso di proposte classificate ex aequo in posizione utile o immediatamente successiva all’ultima posizione finanziabile, la Commissione potrà proporre l’assegnazione di ulteriori finanziamenti, subordinatamente alla disponibilità di risorse aggiuntive e alla relativa autorizzazione da parte degli organi competenti del Teaching and Learning Center, secondo quanto previsto dall’art. 2.</w:t>
      </w:r>
    </w:p>
    <w:p w:rsidR="00000000" w:rsidDel="00000000" w:rsidP="00000000" w:rsidRDefault="00000000" w:rsidRPr="00000000" w14:paraId="00000073">
      <w:pPr>
        <w:numPr>
          <w:ilvl w:val="0"/>
          <w:numId w:val="1"/>
        </w:numPr>
        <w:spacing w:after="120" w:line="276" w:lineRule="auto"/>
        <w:ind w:left="850.3937007874016" w:hanging="288.070866141732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 tutti i </w:t>
      </w:r>
      <w:r w:rsidDel="00000000" w:rsidR="00000000" w:rsidRPr="00000000">
        <w:rPr>
          <w:rFonts w:ascii="Arial" w:cs="Arial" w:eastAsia="Arial" w:hAnsi="Arial"/>
          <w:b w:val="1"/>
          <w:bCs w:val="1"/>
          <w:color w:val="000000"/>
          <w:sz w:val="22"/>
          <w:szCs w:val="22"/>
          <w:rtl w:val="0"/>
        </w:rPr>
        <w:t xml:space="preserve">partecipanti presenti</w:t>
      </w:r>
      <w:r w:rsidDel="00000000" w:rsidR="00000000" w:rsidRPr="00000000">
        <w:rPr>
          <w:rFonts w:ascii="Arial" w:cs="Arial" w:eastAsia="Arial" w:hAnsi="Arial"/>
          <w:color w:val="000000"/>
          <w:sz w:val="22"/>
          <w:szCs w:val="22"/>
          <w:rtl w:val="0"/>
        </w:rPr>
        <w:t xml:space="preserve"> all</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 giornat</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 d</w:t>
      </w:r>
      <w:r w:rsidDel="00000000" w:rsidR="00000000" w:rsidRPr="00000000">
        <w:rPr>
          <w:rFonts w:ascii="Arial" w:cs="Arial" w:eastAsia="Arial" w:hAnsi="Arial"/>
          <w:sz w:val="22"/>
          <w:szCs w:val="22"/>
          <w:rtl w:val="0"/>
        </w:rPr>
        <w:t xml:space="preserve">el </w:t>
      </w:r>
      <w:r w:rsidDel="00000000" w:rsidR="00000000" w:rsidRPr="00000000">
        <w:rPr>
          <w:rFonts w:ascii="Arial" w:cs="Arial" w:eastAsia="Arial" w:hAnsi="Arial"/>
          <w:sz w:val="22"/>
          <w:szCs w:val="22"/>
          <w:highlight w:val="yellow"/>
          <w:rtl w:val="0"/>
        </w:rPr>
        <w:t xml:space="preserve">26 </w:t>
      </w:r>
      <w:r w:rsidDel="00000000" w:rsidR="00000000" w:rsidRPr="00000000">
        <w:rPr>
          <w:rFonts w:ascii="Arial" w:cs="Arial" w:eastAsia="Arial" w:hAnsi="Arial"/>
          <w:sz w:val="22"/>
          <w:szCs w:val="22"/>
          <w:rtl w:val="0"/>
        </w:rPr>
        <w:t xml:space="preserve">novembre </w:t>
      </w:r>
      <w:r w:rsidDel="00000000" w:rsidR="00000000" w:rsidRPr="00000000">
        <w:rPr>
          <w:rFonts w:ascii="Arial" w:cs="Arial" w:eastAsia="Arial" w:hAnsi="Arial"/>
          <w:color w:val="000000"/>
          <w:sz w:val="22"/>
          <w:szCs w:val="22"/>
          <w:rtl w:val="0"/>
        </w:rPr>
        <w:t xml:space="preserve">verrà attribuito un </w:t>
      </w:r>
      <w:r w:rsidDel="00000000" w:rsidR="00000000" w:rsidRPr="00000000">
        <w:rPr>
          <w:rFonts w:ascii="Arial" w:cs="Arial" w:eastAsia="Arial" w:hAnsi="Arial"/>
          <w:b w:val="1"/>
          <w:bCs w:val="1"/>
          <w:color w:val="000000"/>
          <w:sz w:val="22"/>
          <w:szCs w:val="22"/>
          <w:rtl w:val="0"/>
        </w:rPr>
        <w:t xml:space="preserve">open badge</w:t>
      </w:r>
      <w:r w:rsidDel="00000000" w:rsidR="00000000" w:rsidRPr="00000000">
        <w:rPr>
          <w:rFonts w:ascii="Arial" w:cs="Arial" w:eastAsia="Arial" w:hAnsi="Arial"/>
          <w:color w:val="000000"/>
          <w:sz w:val="22"/>
          <w:szCs w:val="22"/>
          <w:rtl w:val="0"/>
        </w:rPr>
        <w:t xml:space="preserve"> attestante le competenze nella progettazione di innovazioni didattiche.</w:t>
      </w:r>
      <w:r w:rsidDel="00000000" w:rsidR="00000000" w:rsidRPr="00000000">
        <w:rPr>
          <w:rtl w:val="0"/>
        </w:rPr>
      </w:r>
    </w:p>
    <w:p w:rsidR="00000000" w:rsidDel="00000000" w:rsidP="00000000" w:rsidRDefault="00000000" w:rsidRPr="00000000" w14:paraId="00000074">
      <w:pPr>
        <w:spacing w:line="276" w:lineRule="auto"/>
        <w:ind w:left="567"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5">
      <w:pPr>
        <w:spacing w:after="120" w:line="276" w:lineRule="auto"/>
        <w:ind w:left="567"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Art. </w:t>
      </w:r>
      <w:r w:rsidDel="00000000" w:rsidR="00000000" w:rsidRPr="00000000">
        <w:rPr>
          <w:rFonts w:ascii="Arial" w:cs="Arial" w:eastAsia="Arial" w:hAnsi="Arial"/>
          <w:b w:val="1"/>
          <w:bCs w:val="1"/>
          <w:sz w:val="22"/>
          <w:szCs w:val="22"/>
          <w:rtl w:val="0"/>
        </w:rPr>
        <w:t xml:space="preserve">8</w:t>
      </w:r>
      <w:r w:rsidDel="00000000" w:rsidR="00000000" w:rsidRPr="00000000">
        <w:rPr>
          <w:rFonts w:ascii="Arial" w:cs="Arial" w:eastAsia="Arial" w:hAnsi="Arial"/>
          <w:b w:val="1"/>
          <w:bCs w:val="1"/>
          <w:color w:val="000000"/>
          <w:sz w:val="22"/>
          <w:szCs w:val="22"/>
          <w:rtl w:val="0"/>
        </w:rPr>
        <w:t xml:space="preserve"> – Adempimenti per i vincitori </w:t>
      </w:r>
    </w:p>
    <w:p w:rsidR="00000000" w:rsidDel="00000000" w:rsidP="00000000" w:rsidRDefault="00000000" w:rsidRPr="00000000" w14:paraId="00000076">
      <w:pPr>
        <w:numPr>
          <w:ilvl w:val="0"/>
          <w:numId w:val="3"/>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Ciascun gruppo vincitore dovrà indicare la struttura di Ateneo presso la quale trasferire o gestire le risorse assegnate, nonché il/la relativo/a responsabile, secondo le modalità amministrative e contabili previste dall’Università degli Studi di Torino.</w:t>
      </w:r>
    </w:p>
    <w:p w:rsidR="00000000" w:rsidDel="00000000" w:rsidP="00000000" w:rsidRDefault="00000000" w:rsidRPr="00000000" w14:paraId="00000077">
      <w:pPr>
        <w:numPr>
          <w:ilvl w:val="0"/>
          <w:numId w:val="3"/>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Qualora, per ragioni amministrative o contabili, non fosse possibile procedere al trasferimento delle risorse alla struttura indicata dal gruppo vincitore, la gestione amministrativa del finanziamento potrà essere affidata al Teaching and Learning Center, nel rispetto delle procedure di Ateneo.</w:t>
      </w:r>
    </w:p>
    <w:p w:rsidR="00000000" w:rsidDel="00000000" w:rsidP="00000000" w:rsidRDefault="00000000" w:rsidRPr="00000000" w14:paraId="00000078">
      <w:pPr>
        <w:numPr>
          <w:ilvl w:val="0"/>
          <w:numId w:val="3"/>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 gruppi vincitori sono tenuti a realizzare la proposta progettuale nei tempi previsti dall’art. 4 del presente bando e in coerenza con quanto approvato in sede di valutazione.</w:t>
      </w:r>
    </w:p>
    <w:p w:rsidR="00000000" w:rsidDel="00000000" w:rsidP="00000000" w:rsidRDefault="00000000" w:rsidRPr="00000000" w14:paraId="00000079">
      <w:pPr>
        <w:numPr>
          <w:ilvl w:val="0"/>
          <w:numId w:val="3"/>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 gruppi vincitori dovranno documentare lo svolgimento delle attività, monitorarne l’attuazione, raccogliere elementi utili alla valutazione degli esiti e rendicontare le spese effettuate secondo le indicazioni fornite dal Teaching and Learning Center e dalle strutture amministrative competenti.</w:t>
      </w:r>
    </w:p>
    <w:p w:rsidR="00000000" w:rsidDel="00000000" w:rsidP="00000000" w:rsidRDefault="00000000" w:rsidRPr="00000000" w14:paraId="0000007A">
      <w:pPr>
        <w:numPr>
          <w:ilvl w:val="0"/>
          <w:numId w:val="3"/>
        </w:numPr>
        <w:spacing w:after="0" w:afterAutospacing="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Eventuali modifiche sostanziali alla proposta approvata, relative ad attività, tempi, composizione del gruppo, utilizzo delle risorse o struttura amministrativa di riferimento, dovranno essere comunicate preventivamente al Teaching and Learning Center e potranno essere attuate solo previa verifica della loro compatibilità con le finalità del bando e con le disposizioni amministrativo-contabili applicabili.</w:t>
      </w:r>
    </w:p>
    <w:p w:rsidR="00000000" w:rsidDel="00000000" w:rsidP="00000000" w:rsidRDefault="00000000" w:rsidRPr="00000000" w14:paraId="0000007B">
      <w:pPr>
        <w:numPr>
          <w:ilvl w:val="0"/>
          <w:numId w:val="3"/>
        </w:numPr>
        <w:spacing w:after="120" w:line="276" w:lineRule="auto"/>
        <w:ind w:left="850.3937007874016" w:hanging="283.464566929134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 gruppi vincitori potranno essere invitati a partecipare a iniziative di restituzione, disseminazione e valorizzazione degli esiti progettuali promosse dal Teaching and Learning Center, anche mediante la condivisione di materiali, report, pratiche o risultati prodotti nell’ambito del progetto.</w:t>
      </w:r>
    </w:p>
    <w:p w:rsidR="00000000" w:rsidDel="00000000" w:rsidP="00000000" w:rsidRDefault="00000000" w:rsidRPr="00000000" w14:paraId="0000007C">
      <w:pPr>
        <w:spacing w:after="12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D">
      <w:pPr>
        <w:ind w:left="6236"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Direttrice del Teaching and </w:t>
      </w:r>
    </w:p>
    <w:p w:rsidR="00000000" w:rsidDel="00000000" w:rsidP="00000000" w:rsidRDefault="00000000" w:rsidRPr="00000000" w14:paraId="0000007E">
      <w:pPr>
        <w:ind w:left="6236"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Learning Center</w:t>
      </w:r>
    </w:p>
    <w:p w:rsidR="00000000" w:rsidDel="00000000" w:rsidP="00000000" w:rsidRDefault="00000000" w:rsidRPr="00000000" w14:paraId="0000007F">
      <w:pPr>
        <w:spacing w:after="120" w:lineRule="auto"/>
        <w:ind w:left="6236"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Prof.ssa Emanuela Maria </w:t>
      </w:r>
      <w:r w:rsidDel="00000000" w:rsidR="00000000" w:rsidRPr="00000000">
        <w:rPr>
          <w:rFonts w:ascii="Arial" w:cs="Arial" w:eastAsia="Arial" w:hAnsi="Arial"/>
          <w:sz w:val="22"/>
          <w:szCs w:val="22"/>
          <w:rtl w:val="0"/>
        </w:rPr>
        <w:t xml:space="preserve">Teresa</w:t>
      </w:r>
      <w:r w:rsidDel="00000000" w:rsidR="00000000" w:rsidRPr="00000000">
        <w:rPr>
          <w:rFonts w:ascii="Arial" w:cs="Arial" w:eastAsia="Arial" w:hAnsi="Arial"/>
          <w:color w:val="000000"/>
          <w:sz w:val="22"/>
          <w:szCs w:val="22"/>
          <w:rtl w:val="0"/>
        </w:rPr>
        <w:t xml:space="preserve"> Torre</w:t>
      </w:r>
    </w:p>
    <w:p w:rsidR="00000000" w:rsidDel="00000000" w:rsidP="00000000" w:rsidRDefault="00000000" w:rsidRPr="00000000" w14:paraId="00000080">
      <w:pPr>
        <w:spacing w:after="120" w:lineRule="auto"/>
        <w:ind w:left="6236"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after="120" w:lineRule="auto"/>
        <w:ind w:left="567" w:firstLine="0"/>
        <w:jc w:val="both"/>
        <w:rPr>
          <w:rFonts w:ascii="Arial" w:cs="Arial" w:eastAsia="Arial" w:hAnsi="Arial"/>
          <w:i w:val="1"/>
          <w:iCs w:val="1"/>
          <w:color w:val="ff0000"/>
          <w:sz w:val="22"/>
          <w:szCs w:val="22"/>
        </w:rPr>
      </w:pPr>
      <w:r w:rsidDel="00000000" w:rsidR="00000000" w:rsidRPr="00000000">
        <w:rPr>
          <w:rFonts w:ascii="Arial" w:cs="Arial" w:eastAsia="Arial" w:hAnsi="Arial"/>
          <w:i w:val="1"/>
          <w:iCs w:val="1"/>
          <w:color w:val="ff0000"/>
          <w:sz w:val="22"/>
          <w:szCs w:val="22"/>
          <w:rtl w:val="0"/>
        </w:rPr>
        <w:t xml:space="preserve">Il documento è firmato digitalmente ai sensi del D.Lgs. 82/2005 s.m.i. e norme collegate e sostituisce il documento cartaceo e la firma autografa.</w:t>
      </w:r>
    </w:p>
    <w:sectPr>
      <w:headerReference r:id="rId11" w:type="default"/>
      <w:headerReference r:id="rId12" w:type="first"/>
      <w:headerReference r:id="rId13" w:type="even"/>
      <w:footerReference r:id="rId14" w:type="default"/>
      <w:footerReference r:id="rId15" w:type="first"/>
      <w:footerReference r:id="rId16" w:type="even"/>
      <w:pgSz w:h="16840" w:w="11900" w:orient="portrait"/>
      <w:pgMar w:bottom="1690" w:top="3646" w:left="566" w:right="1134" w:header="141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819"/>
        <w:tab w:val="right" w:leader="none" w:pos="9638"/>
      </w:tabs>
      <w:ind w:left="392" w:firstLine="0"/>
      <w:rPr>
        <w:rFonts w:ascii="Tahoma" w:cs="Tahoma" w:eastAsia="Tahoma" w:hAnsi="Tahoma"/>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-1782760</wp:posOffset>
              </wp:positionH>
              <wp:positionV relativeFrom="paragraph">
                <wp:posOffset>9558338</wp:posOffset>
              </wp:positionV>
              <wp:extent cx="7628890" cy="1146810"/>
              <wp:effectExtent b="0" l="0" r="0" t="0"/>
              <wp:wrapNone/>
              <wp:docPr id="1" name=""/>
              <a:graphic>
                <a:graphicData uri="http://schemas.microsoft.com/office/word/2010/wordprocessingShape">
                  <wps:wsp>
                    <wps:cNvSpPr/>
                    <wps:cNvPr id="2" name="Shape 2"/>
                    <wps:spPr>
                      <a:xfrm>
                        <a:off x="1564893" y="3239933"/>
                        <a:ext cx="7562215" cy="1080135"/>
                      </a:xfrm>
                      <a:prstGeom prst="rect">
                        <a:avLst/>
                      </a:prstGeom>
                      <a:noFill/>
                      <a:ln>
                        <a:noFill/>
                      </a:ln>
                    </wps:spPr>
                    <wps:txbx>
                      <w:txbxContent>
                        <w:p w:rsidR="00000000" w:rsidDel="00000000" w:rsidP="00000000" w:rsidRDefault="00000000" w:rsidRPr="00000000">
                          <w:pPr>
                            <w:spacing w:after="0" w:before="0" w:line="240"/>
                            <w:ind w:left="3022.0001220703125" w:right="0" w:firstLine="21161.99951171875"/>
                            <w:jc w:val="left"/>
                            <w:textDirection w:val="btLr"/>
                          </w:pPr>
                        </w:p>
                        <w:p w:rsidR="00000000" w:rsidDel="00000000" w:rsidP="00000000" w:rsidRDefault="00000000" w:rsidRPr="00000000">
                          <w:pPr>
                            <w:spacing w:after="0" w:before="0" w:line="240"/>
                            <w:ind w:left="3022.0001220703125" w:right="0" w:firstLine="21161.99951171875"/>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18"/>
                              <w:vertAlign w:val="baseline"/>
                            </w:rPr>
                            <w:t xml:space="preserve">Nome struttura</w:t>
                          </w:r>
                        </w:p>
                        <w:p w:rsidR="00000000" w:rsidDel="00000000" w:rsidP="00000000" w:rsidRDefault="00000000" w:rsidRPr="00000000">
                          <w:pPr>
                            <w:spacing w:after="0" w:before="0" w:line="240"/>
                            <w:ind w:left="3022.0001220703125" w:right="0" w:firstLine="21161.99951171875"/>
                            <w:jc w:val="left"/>
                            <w:textDirection w:val="btLr"/>
                          </w:pPr>
                          <w:r w:rsidDel="00000000" w:rsidR="00000000" w:rsidRPr="00000000">
                            <w:rPr>
                              <w:rFonts w:ascii="Tahoma" w:cs="Tahoma" w:eastAsia="Tahoma" w:hAnsi="Tahoma"/>
                              <w:b w:val="0"/>
                              <w:i w:val="0"/>
                              <w:smallCaps w:val="0"/>
                              <w:strike w:val="0"/>
                              <w:color w:val="000000"/>
                              <w:sz w:val="18"/>
                              <w:vertAlign w:val="baseline"/>
                            </w:rPr>
                          </w:r>
                          <w:r w:rsidDel="00000000" w:rsidR="00000000" w:rsidRPr="00000000">
                            <w:rPr>
                              <w:rFonts w:ascii="Tahoma" w:cs="Tahoma" w:eastAsia="Tahoma" w:hAnsi="Tahoma"/>
                              <w:b w:val="0"/>
                              <w:i w:val="0"/>
                              <w:smallCaps w:val="0"/>
                              <w:strike w:val="0"/>
                              <w:color w:val="000000"/>
                              <w:sz w:val="18"/>
                              <w:vertAlign w:val="baseline"/>
                            </w:rPr>
                            <w:t xml:space="preserve">Via Nome Numero - CAP Città (Provincia)</w:t>
                          </w:r>
                          <w:r w:rsidDel="00000000" w:rsidR="00000000" w:rsidRPr="00000000">
                            <w:rPr>
                              <w:rFonts w:ascii="Tahoma" w:cs="Tahoma" w:eastAsia="Tahoma" w:hAnsi="Tahoma"/>
                              <w:b w:val="0"/>
                              <w:i w:val="0"/>
                              <w:smallCaps w:val="0"/>
                              <w:strike w:val="0"/>
                              <w:color w:val="000000"/>
                              <w:sz w:val="18"/>
                              <w:vertAlign w:val="baseline"/>
                            </w:rPr>
                            <w:br w:type="textWrapping"/>
                          </w:r>
                          <w:r w:rsidDel="00000000" w:rsidR="00000000" w:rsidRPr="00000000">
                            <w:rPr>
                              <w:rFonts w:ascii="Tahoma" w:cs="Tahoma" w:eastAsia="Tahoma" w:hAnsi="Tahoma"/>
                              <w:b w:val="0"/>
                              <w:i w:val="0"/>
                              <w:smallCaps w:val="0"/>
                              <w:strike w:val="0"/>
                              <w:color w:val="000000"/>
                              <w:sz w:val="18"/>
                              <w:vertAlign w:val="baseline"/>
                            </w:rPr>
                            <w:t xml:space="preserve">Tel (011) 670 Interno – 670 Interno – 670 Interno | Mail </w:t>
                          </w:r>
                          <w:r w:rsidDel="00000000" w:rsidR="00000000" w:rsidRPr="00000000">
                            <w:rPr>
                              <w:rFonts w:ascii="Tahoma" w:cs="Tahoma" w:eastAsia="Tahoma" w:hAnsi="Tahoma"/>
                              <w:b w:val="0"/>
                              <w:i w:val="0"/>
                              <w:smallCaps w:val="0"/>
                              <w:strike w:val="0"/>
                              <w:color w:val="0000ff"/>
                              <w:sz w:val="18"/>
                              <w:u w:val="single"/>
                              <w:vertAlign w:val="baseline"/>
                            </w:rPr>
                            <w:t xml:space="preserve">indirizzo.mail@unito.it</w:t>
                          </w:r>
                          <w:r w:rsidDel="00000000" w:rsidR="00000000" w:rsidRPr="00000000">
                            <w:rPr>
                              <w:rFonts w:ascii="Tahoma" w:cs="Tahoma" w:eastAsia="Tahoma" w:hAnsi="Tahoma"/>
                              <w:b w:val="0"/>
                              <w:i w:val="0"/>
                              <w:smallCaps w:val="0"/>
                              <w:strike w:val="0"/>
                              <w:color w:val="000000"/>
                              <w:sz w:val="1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-1782760</wp:posOffset>
              </wp:positionH>
              <wp:positionV relativeFrom="paragraph">
                <wp:posOffset>9558338</wp:posOffset>
              </wp:positionV>
              <wp:extent cx="7628890" cy="114681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628890" cy="114681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8">
      <w:pPr>
        <w:jc w:val="both"/>
        <w:rPr>
          <w:rFonts w:ascii="Tahoma" w:cs="Tahoma" w:eastAsia="Tahoma" w:hAnsi="Tahoma"/>
          <w:sz w:val="18"/>
          <w:szCs w:val="18"/>
        </w:rPr>
      </w:pPr>
      <w:r w:rsidDel="00000000" w:rsidR="00000000" w:rsidRPr="00000000">
        <w:rPr>
          <w:rStyle w:val="FootnoteReference"/>
          <w:vertAlign w:val="superscript"/>
        </w:rPr>
        <w:footnoteRef/>
      </w:r>
      <w:r w:rsidDel="00000000" w:rsidR="00000000" w:rsidRPr="00000000">
        <w:rPr>
          <w:rFonts w:ascii="Tahoma" w:cs="Tahoma" w:eastAsia="Tahoma" w:hAnsi="Tahoma"/>
          <w:sz w:val="18"/>
          <w:szCs w:val="18"/>
          <w:rtl w:val="0"/>
        </w:rPr>
        <w:t xml:space="preserve"> Il personale non strutturato comprende docenti a contratto, docenti del SSN, assegnisti di ricerca, borsisti, CEL, collaboratori occasionali.</w:t>
      </w:r>
    </w:p>
  </w:footnote>
  <w:footnote w:id="1">
    <w:p w:rsidR="00000000" w:rsidDel="00000000" w:rsidP="00000000" w:rsidRDefault="00000000" w:rsidRPr="00000000" w14:paraId="00000089">
      <w:pPr>
        <w:jc w:val="both"/>
        <w:rPr>
          <w:rFonts w:ascii="Tahoma" w:cs="Tahoma" w:eastAsia="Tahoma" w:hAnsi="Tahoma"/>
          <w:sz w:val="18"/>
          <w:szCs w:val="18"/>
        </w:rPr>
      </w:pPr>
      <w:r w:rsidDel="00000000" w:rsidR="00000000" w:rsidRPr="00000000">
        <w:rPr>
          <w:rStyle w:val="FootnoteReference"/>
          <w:vertAlign w:val="superscript"/>
        </w:rPr>
        <w:footnoteRef/>
      </w:r>
      <w:r w:rsidDel="00000000" w:rsidR="00000000" w:rsidRPr="00000000">
        <w:rPr>
          <w:rFonts w:ascii="Tahoma" w:cs="Tahoma" w:eastAsia="Tahoma" w:hAnsi="Tahoma"/>
          <w:sz w:val="18"/>
          <w:szCs w:val="18"/>
          <w:rtl w:val="0"/>
        </w:rPr>
        <w:t xml:space="preserve"> Per “studentə” si intendono tutti/e gli/le iscritti/e a Corsi di studio di I e II livello, Dottorati, Scuole di Specializzazione, Master di I e II livello. Sono ammessi anche i/e Laureati/e entro due anni dal conseguimento del titolo.</w:t>
      </w:r>
    </w:p>
  </w:footnote>
  <w:footnote w:id="2">
    <w:p w:rsidR="00000000" w:rsidDel="00000000" w:rsidP="00000000" w:rsidRDefault="00000000" w:rsidRPr="00000000" w14:paraId="0000008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relazione agli spazi disponibili o nel caso di partecipanti afferenti alla rete UNITA residenti all’estero potrà essere prevista la partecipazione online.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819"/>
        <w:tab w:val="right" w:leader="none" w:pos="9638"/>
      </w:tabs>
      <w:ind w:left="420" w:firstLine="0"/>
      <w:rPr>
        <w:color w:val="000000"/>
      </w:rPr>
    </w:pPr>
    <w:r w:rsidDel="00000000" w:rsidR="00000000" w:rsidRPr="00000000">
      <w:rPr>
        <w:rtl w:val="0"/>
      </w:rPr>
      <w:t xml:space="preserve">\</w:t>
    </w:r>
    <w:r w:rsidDel="00000000" w:rsidR="00000000" w:rsidRPr="00000000">
      <w:rPr>
        <w:color w:val="000000"/>
      </w:rPr>
      <w:drawing>
        <wp:anchor allowOverlap="1" behindDoc="1" distB="0" distT="0" distL="0" distR="0" hidden="0" layoutInCell="1" locked="0" relativeHeight="0" simplePos="0">
          <wp:simplePos x="0" y="0"/>
          <wp:positionH relativeFrom="page">
            <wp:posOffset>97</wp:posOffset>
          </wp:positionH>
          <wp:positionV relativeFrom="page">
            <wp:posOffset>0</wp:posOffset>
          </wp:positionV>
          <wp:extent cx="7560000" cy="106956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0000" cy="106956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7770" cy="10695940"/>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57770" cy="1069594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elearning.unito.it/teachingandlearningcenter/course/view.php?id=96"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eachingandlearningcenter.unito.it/"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forms.gle/qXBdP8gbtsv6S3hy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EEWrNZkrbS7KT22eMHrjqP3P7w==">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